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B1" w:rsidRPr="008A0FB1" w:rsidRDefault="008A0FB1" w:rsidP="008A0FB1">
      <w:pPr>
        <w:widowControl/>
        <w:spacing w:line="600" w:lineRule="exact"/>
        <w:jc w:val="center"/>
        <w:rPr>
          <w:rFonts w:ascii="宋体" w:eastAsia="宋体" w:hAnsi="宋体" w:cs="宋体"/>
          <w:color w:val="4A4A4A"/>
          <w:kern w:val="0"/>
          <w:sz w:val="24"/>
          <w:szCs w:val="24"/>
        </w:rPr>
      </w:pPr>
      <w:r w:rsidRPr="008A0FB1">
        <w:rPr>
          <w:rFonts w:ascii="方正小标宋_GBK" w:eastAsia="方正小标宋_GBK" w:hAnsiTheme="majorEastAsia" w:cs="宋体" w:hint="eastAsia"/>
          <w:color w:val="000000"/>
          <w:kern w:val="0"/>
          <w:sz w:val="44"/>
          <w:szCs w:val="44"/>
        </w:rPr>
        <w:t>中国药科大学专项津贴奖励办法（试行）</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黑体" w:eastAsia="黑体" w:hAnsi="黑体" w:cs="宋体" w:hint="eastAsia"/>
          <w:color w:val="000000"/>
          <w:kern w:val="0"/>
          <w:sz w:val="32"/>
          <w:szCs w:val="32"/>
        </w:rPr>
        <w:t>第一条</w:t>
      </w:r>
      <w:r w:rsidRPr="008A0FB1">
        <w:rPr>
          <w:rFonts w:ascii="方正仿宋_GBK" w:eastAsia="方正仿宋_GBK" w:hAnsi="仿宋" w:cs="宋体" w:hint="eastAsia"/>
          <w:color w:val="000000"/>
          <w:kern w:val="0"/>
          <w:sz w:val="32"/>
          <w:szCs w:val="32"/>
        </w:rPr>
        <w:t xml:space="preserve"> 为促进我校办学质量和自主创新能力的提高，有效凝聚和培养高层次拔尖创新人才，激发广大教职工参与并投身教育教学改革与科学研究的积极性，学校围绕建设高水平研究型大学发展战略，鼓励产出具有显示度的教学科研成果，特制订《中国药科大学专项津贴奖励办法（试行）》。</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黑体" w:eastAsia="黑体" w:hAnsi="黑体" w:cs="宋体" w:hint="eastAsia"/>
          <w:color w:val="000000"/>
          <w:kern w:val="0"/>
          <w:sz w:val="32"/>
          <w:szCs w:val="32"/>
        </w:rPr>
        <w:t>第二条</w:t>
      </w:r>
      <w:r w:rsidRPr="008A0FB1">
        <w:rPr>
          <w:rFonts w:ascii="方正仿宋_GBK" w:eastAsia="方正仿宋_GBK" w:hAnsi="仿宋" w:cs="宋体" w:hint="eastAsia"/>
          <w:color w:val="000000"/>
          <w:kern w:val="0"/>
          <w:sz w:val="32"/>
          <w:szCs w:val="32"/>
        </w:rPr>
        <w:t xml:space="preserve"> 本办法奖励的范围为我校教师，奖励的种类为教学奖励、人才培养奖励、科技奖励。</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黑体" w:eastAsia="黑体" w:hAnsi="黑体" w:cs="宋体" w:hint="eastAsia"/>
          <w:color w:val="000000"/>
          <w:kern w:val="0"/>
          <w:sz w:val="32"/>
          <w:szCs w:val="32"/>
        </w:rPr>
        <w:t>第三条</w:t>
      </w:r>
      <w:r w:rsidRPr="008A0FB1">
        <w:rPr>
          <w:rFonts w:ascii="方正仿宋_GBK" w:eastAsia="方正仿宋_GBK" w:hAnsi="仿宋" w:cs="宋体" w:hint="eastAsia"/>
          <w:color w:val="000000"/>
          <w:kern w:val="0"/>
          <w:sz w:val="32"/>
          <w:szCs w:val="32"/>
        </w:rPr>
        <w:t xml:space="preserve"> 教学奖励</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一、</w:t>
      </w:r>
      <w:r w:rsidRPr="008A0FB1">
        <w:rPr>
          <w:rFonts w:ascii="方正仿宋_GBK" w:eastAsia="方正仿宋_GBK" w:hAnsi="仿宋" w:cs="宋体" w:hint="eastAsia"/>
          <w:color w:val="4A4A4A"/>
          <w:kern w:val="0"/>
          <w:sz w:val="32"/>
          <w:szCs w:val="32"/>
        </w:rPr>
        <w:t>教学成果奖：国家</w:t>
      </w:r>
      <w:r w:rsidRPr="008A0FB1">
        <w:rPr>
          <w:rFonts w:ascii="方正仿宋_GBK" w:eastAsia="方正仿宋_GBK" w:hAnsi="仿宋" w:cs="宋体" w:hint="eastAsia"/>
          <w:color w:val="000000"/>
          <w:kern w:val="0"/>
          <w:sz w:val="32"/>
          <w:szCs w:val="32"/>
        </w:rPr>
        <w:t>级特等奖、国家级一等奖、国家级二等奖、省级特等奖、省级一等奖、省级二等奖，学校按照国家和省里的奖励标准1:1配套，同一项目以最高奖项给予奖励。</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二、</w:t>
      </w:r>
      <w:r w:rsidRPr="008A0FB1">
        <w:rPr>
          <w:rFonts w:ascii="方正仿宋_GBK" w:eastAsia="方正仿宋_GBK" w:hAnsi="仿宋" w:cs="宋体" w:hint="eastAsia"/>
          <w:color w:val="4A4A4A"/>
          <w:kern w:val="0"/>
          <w:sz w:val="32"/>
          <w:szCs w:val="32"/>
        </w:rPr>
        <w:t>课程建设：国家级精品开放课程，每门奖励2万元。</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4A4A4A"/>
          <w:kern w:val="0"/>
          <w:sz w:val="32"/>
          <w:szCs w:val="32"/>
        </w:rPr>
        <w:t>三、</w:t>
      </w:r>
      <w:r w:rsidRPr="008A0FB1">
        <w:rPr>
          <w:rFonts w:ascii="方正仿宋_GBK" w:eastAsia="方正仿宋_GBK" w:hAnsi="仿宋" w:cs="宋体" w:hint="eastAsia"/>
          <w:color w:val="4A4A4A"/>
          <w:kern w:val="0"/>
          <w:sz w:val="32"/>
          <w:szCs w:val="32"/>
        </w:rPr>
        <w:t>课程竞赛或课件奖励：国家级一等奖，每项奖励1万元；国家级二等奖、省级一等奖，每项奖励0.5万元；省级二等奖，每项奖励0.3万元。</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4A4A4A"/>
          <w:kern w:val="0"/>
          <w:sz w:val="32"/>
          <w:szCs w:val="32"/>
        </w:rPr>
        <w:t>四、</w:t>
      </w:r>
      <w:r w:rsidRPr="008A0FB1">
        <w:rPr>
          <w:rFonts w:ascii="方正仿宋_GBK" w:eastAsia="方正仿宋_GBK" w:hAnsi="仿宋" w:cs="宋体" w:hint="eastAsia"/>
          <w:color w:val="4A4A4A"/>
          <w:kern w:val="0"/>
          <w:sz w:val="32"/>
          <w:szCs w:val="32"/>
        </w:rPr>
        <w:t>成功获批国家级专业、实践基地、人才培养项目、实验中心等重大教学改革建设项目，每项奖励1万元，奖励团队。</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4A4A4A"/>
          <w:kern w:val="0"/>
          <w:sz w:val="32"/>
          <w:szCs w:val="32"/>
        </w:rPr>
        <w:t>五、</w:t>
      </w:r>
      <w:r w:rsidRPr="008A0FB1">
        <w:rPr>
          <w:rFonts w:ascii="方正仿宋_GBK" w:eastAsia="方正仿宋_GBK" w:hAnsi="仿宋" w:cs="宋体" w:hint="eastAsia"/>
          <w:color w:val="4A4A4A"/>
          <w:kern w:val="0"/>
          <w:sz w:val="32"/>
          <w:szCs w:val="32"/>
        </w:rPr>
        <w:t>教材类：国家级优秀教材，每本奖励3万元；国家级规划教材，每本奖励1万元，所奖励教材必须是正式出</w:t>
      </w:r>
      <w:r w:rsidRPr="008A0FB1">
        <w:rPr>
          <w:rFonts w:ascii="方正仿宋_GBK" w:eastAsia="方正仿宋_GBK" w:hAnsi="仿宋" w:cs="宋体" w:hint="eastAsia"/>
          <w:color w:val="000000"/>
          <w:kern w:val="0"/>
          <w:sz w:val="32"/>
          <w:szCs w:val="32"/>
        </w:rPr>
        <w:t>版的，中国药科大学为主编单位。</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黑体" w:eastAsia="黑体" w:hAnsi="黑体" w:cs="宋体" w:hint="eastAsia"/>
          <w:color w:val="000000"/>
          <w:kern w:val="0"/>
          <w:sz w:val="32"/>
          <w:szCs w:val="32"/>
        </w:rPr>
        <w:lastRenderedPageBreak/>
        <w:t xml:space="preserve">第四条 </w:t>
      </w:r>
      <w:r w:rsidRPr="008A0FB1">
        <w:rPr>
          <w:rFonts w:ascii="方正仿宋_GBK" w:eastAsia="方正仿宋_GBK" w:hAnsi="仿宋" w:cs="宋体" w:hint="eastAsia"/>
          <w:color w:val="000000"/>
          <w:kern w:val="0"/>
          <w:sz w:val="32"/>
          <w:szCs w:val="32"/>
        </w:rPr>
        <w:t>人才培养奖励</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一、</w:t>
      </w:r>
      <w:r w:rsidRPr="008A0FB1">
        <w:rPr>
          <w:rFonts w:ascii="方正仿宋_GBK" w:eastAsia="方正仿宋_GBK" w:hAnsi="仿宋" w:cs="宋体" w:hint="eastAsia"/>
          <w:color w:val="4A4A4A"/>
          <w:kern w:val="0"/>
          <w:sz w:val="32"/>
          <w:szCs w:val="32"/>
        </w:rPr>
        <w:t>优秀教师或教学团队：国家级教学名师（含国家设置的各类名师称号），奖励3万元，</w:t>
      </w:r>
      <w:r w:rsidRPr="008A0FB1">
        <w:rPr>
          <w:rFonts w:ascii="方正仿宋_GBK" w:eastAsia="方正仿宋_GBK" w:hAnsi="仿宋" w:cs="宋体" w:hint="eastAsia"/>
          <w:color w:val="000000"/>
          <w:kern w:val="0"/>
          <w:sz w:val="32"/>
          <w:szCs w:val="32"/>
        </w:rPr>
        <w:t>不重复奖励；</w:t>
      </w:r>
      <w:r w:rsidRPr="008A0FB1">
        <w:rPr>
          <w:rFonts w:ascii="方正仿宋_GBK" w:eastAsia="方正仿宋_GBK" w:hAnsi="仿宋" w:cs="宋体" w:hint="eastAsia"/>
          <w:color w:val="4A4A4A"/>
          <w:kern w:val="0"/>
          <w:sz w:val="32"/>
          <w:szCs w:val="32"/>
        </w:rPr>
        <w:t>国家级教学团队：奖励3万元；江苏省教学名师：奖励1万元；江苏省教学团队：奖励1万元。</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二、</w:t>
      </w:r>
      <w:r w:rsidRPr="008A0FB1">
        <w:rPr>
          <w:rFonts w:ascii="方正仿宋_GBK" w:eastAsia="方正仿宋_GBK" w:hAnsi="仿宋" w:cs="宋体" w:hint="eastAsia"/>
          <w:color w:val="4A4A4A"/>
          <w:kern w:val="0"/>
          <w:sz w:val="32"/>
          <w:szCs w:val="32"/>
        </w:rPr>
        <w:t>优秀学位论文指导教师：国家级优秀博士论文指导教师，奖励2万元；国家级优秀博士论文提名奖指导教师，奖励1万元；江苏省优秀博士论文指导教师，奖励0.5万元；江苏省优秀硕士论文指导教师，奖励0.2万元；江苏省优秀本科毕业论文一等奖指导教师，奖励0.2万元；江苏省优秀本科毕业论文设计团队指导教师，奖励0.5万元。</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三、</w:t>
      </w:r>
      <w:r w:rsidRPr="008A0FB1">
        <w:rPr>
          <w:rFonts w:ascii="方正仿宋_GBK" w:eastAsia="方正仿宋_GBK" w:hAnsi="仿宋" w:cs="宋体" w:hint="eastAsia"/>
          <w:color w:val="4A4A4A"/>
          <w:kern w:val="0"/>
          <w:sz w:val="32"/>
          <w:szCs w:val="32"/>
        </w:rPr>
        <w:t>学生科技活动、学科竞赛或文体赛事指导教师：国际一等奖指导教师，奖励1万元；国际二、三等奖及国家级一等奖指导教师，奖励0.8万元；国家级二、三等奖指导教师，奖励0.5万元。体育赛事获奖按照第1-2名等同于一等奖、第3-4名等同于二等奖、第5-8名等同于三等奖计算。</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黑体" w:eastAsia="黑体" w:hAnsi="黑体" w:cs="宋体" w:hint="eastAsia"/>
          <w:color w:val="4A4A4A"/>
          <w:kern w:val="0"/>
          <w:sz w:val="32"/>
          <w:szCs w:val="32"/>
        </w:rPr>
        <w:t>第五条</w:t>
      </w:r>
      <w:r w:rsidRPr="008A0FB1">
        <w:rPr>
          <w:rFonts w:ascii="方正仿宋_GBK" w:eastAsia="方正仿宋_GBK" w:hAnsi="仿宋" w:cs="宋体" w:hint="eastAsia"/>
          <w:color w:val="4A4A4A"/>
          <w:kern w:val="0"/>
          <w:sz w:val="32"/>
          <w:szCs w:val="32"/>
        </w:rPr>
        <w:t xml:space="preserve"> 科技奖励</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4A4A4A"/>
          <w:kern w:val="0"/>
          <w:sz w:val="32"/>
          <w:szCs w:val="32"/>
        </w:rPr>
        <w:t>一、</w:t>
      </w:r>
      <w:r w:rsidRPr="008A0FB1">
        <w:rPr>
          <w:rFonts w:ascii="方正仿宋_GBK" w:eastAsia="方正仿宋_GBK" w:hAnsi="仿宋" w:cs="宋体" w:hint="eastAsia"/>
          <w:color w:val="4A4A4A"/>
          <w:kern w:val="0"/>
          <w:sz w:val="32"/>
          <w:szCs w:val="32"/>
        </w:rPr>
        <w:t>科技奖：</w:t>
      </w:r>
      <w:r w:rsidRPr="008A0FB1">
        <w:rPr>
          <w:rFonts w:ascii="方正仿宋_GBK" w:eastAsia="方正仿宋_GBK" w:hAnsi="仿宋" w:cs="宋体" w:hint="eastAsia"/>
          <w:color w:val="000000"/>
          <w:kern w:val="0"/>
          <w:sz w:val="32"/>
          <w:szCs w:val="32"/>
        </w:rPr>
        <w:t>国家级最高科学技术奖、国家自然科学奖、国家技术发明奖、国家科技进步奖、省级科学技术奖、高等学校科学研究优秀成果奖（科学技术）、省部级哲学社会科学优秀成果奖、国家级和省级专利奖等奖项，学校按照国家和省里的奖励标准1:1配套，同一奖项以最高</w:t>
      </w:r>
      <w:proofErr w:type="gramStart"/>
      <w:r w:rsidRPr="008A0FB1">
        <w:rPr>
          <w:rFonts w:ascii="方正仿宋_GBK" w:eastAsia="方正仿宋_GBK" w:hAnsi="仿宋" w:cs="宋体" w:hint="eastAsia"/>
          <w:color w:val="000000"/>
          <w:kern w:val="0"/>
          <w:sz w:val="32"/>
          <w:szCs w:val="32"/>
        </w:rPr>
        <w:t>奖给予</w:t>
      </w:r>
      <w:proofErr w:type="gramEnd"/>
      <w:r w:rsidRPr="008A0FB1">
        <w:rPr>
          <w:rFonts w:ascii="方正仿宋_GBK" w:eastAsia="方正仿宋_GBK" w:hAnsi="仿宋" w:cs="宋体" w:hint="eastAsia"/>
          <w:color w:val="000000"/>
          <w:kern w:val="0"/>
          <w:sz w:val="32"/>
          <w:szCs w:val="32"/>
        </w:rPr>
        <w:t>奖励。</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4A4A4A"/>
          <w:kern w:val="0"/>
          <w:sz w:val="32"/>
          <w:szCs w:val="32"/>
        </w:rPr>
        <w:t>二、</w:t>
      </w:r>
      <w:r w:rsidRPr="008A0FB1">
        <w:rPr>
          <w:rFonts w:ascii="方正仿宋_GBK" w:eastAsia="方正仿宋_GBK" w:hAnsi="仿宋" w:cs="宋体" w:hint="eastAsia"/>
          <w:color w:val="000000"/>
          <w:kern w:val="0"/>
          <w:sz w:val="32"/>
          <w:szCs w:val="32"/>
        </w:rPr>
        <w:t>SCI研究性论文：在《Cell》、《NATURE》、《SCIENCE》正刊上发表论文，每篇奖励20万元；在影响因子大于等于10的SCI刊物上发表论文，每篇奖励3万元；在影响因子大于等于5小于10的SCI刊物上发表论文，每篇奖励0.7万元；在影响因子大于等于3小于5的SCI刊物上发表论文，每篇奖励0.3万元；在影响因子小于3的SCI刊物上发表论文，每篇奖励0.1万元。</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三、</w:t>
      </w:r>
      <w:r w:rsidRPr="008A0FB1">
        <w:rPr>
          <w:rFonts w:ascii="方正仿宋_GBK" w:eastAsia="方正仿宋_GBK" w:hAnsi="仿宋" w:cs="宋体" w:hint="eastAsia"/>
          <w:color w:val="000000"/>
          <w:kern w:val="0"/>
          <w:sz w:val="32"/>
          <w:szCs w:val="32"/>
        </w:rPr>
        <w:t>SCI综述性论文：按SCI研究性论文标准减半奖励。</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四、</w:t>
      </w:r>
      <w:r w:rsidRPr="008A0FB1">
        <w:rPr>
          <w:rFonts w:ascii="方正仿宋_GBK" w:eastAsia="方正仿宋_GBK" w:hAnsi="仿宋" w:cs="宋体" w:hint="eastAsia"/>
          <w:color w:val="000000"/>
          <w:kern w:val="0"/>
          <w:sz w:val="32"/>
          <w:szCs w:val="32"/>
        </w:rPr>
        <w:t>SSCI：在SSCI刊物上发表论文，每篇奖励0.5万元。</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五、</w:t>
      </w:r>
      <w:r w:rsidRPr="008A0FB1">
        <w:rPr>
          <w:rFonts w:ascii="方正仿宋_GBK" w:eastAsia="方正仿宋_GBK" w:hAnsi="仿宋" w:cs="宋体" w:hint="eastAsia"/>
          <w:color w:val="000000"/>
          <w:kern w:val="0"/>
          <w:sz w:val="32"/>
          <w:szCs w:val="32"/>
        </w:rPr>
        <w:t>人文社科类高水平论文：论文在《中国社会科学》、《管理世界》上发表，每篇奖励0.4万元；论文在《马克思主义研究》、《哲学研究》、《世界经济与政治》、《经济研究》、《中国法学》、《中国图书馆学报》、《外语教学与研究》、《体育科学》、《教育研究》等各学科顶尖刊物上发表，每篇奖励0.2万元。</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六、</w:t>
      </w:r>
      <w:r w:rsidRPr="008A0FB1">
        <w:rPr>
          <w:rFonts w:ascii="方正仿宋_GBK" w:eastAsia="方正仿宋_GBK" w:hAnsi="仿宋" w:cs="宋体" w:hint="eastAsia"/>
          <w:color w:val="000000"/>
          <w:kern w:val="0"/>
          <w:sz w:val="32"/>
          <w:szCs w:val="32"/>
        </w:rPr>
        <w:t>单篇论文5年内他引次数（从发表的第二年算起）：引用次数大于等于50，每篇奖励2万元；引用次数大于等于30小于50，每篇奖励0.5万元；引用次数大于等于20小于30，每篇奖励0.3万元。</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七、</w:t>
      </w:r>
      <w:r w:rsidRPr="008A0FB1">
        <w:rPr>
          <w:rFonts w:ascii="方正仿宋_GBK" w:eastAsia="方正仿宋_GBK" w:hAnsi="仿宋" w:cs="宋体" w:hint="eastAsia"/>
          <w:color w:val="000000"/>
          <w:kern w:val="0"/>
          <w:sz w:val="32"/>
          <w:szCs w:val="32"/>
        </w:rPr>
        <w:t>EI（会议论文除外）：每篇奖励0.05万元。</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八、</w:t>
      </w:r>
      <w:r w:rsidRPr="008A0FB1">
        <w:rPr>
          <w:rFonts w:ascii="方正仿宋_GBK" w:eastAsia="方正仿宋_GBK" w:hAnsi="仿宋" w:cs="宋体" w:hint="eastAsia"/>
          <w:color w:val="000000"/>
          <w:kern w:val="0"/>
          <w:sz w:val="32"/>
          <w:szCs w:val="32"/>
        </w:rPr>
        <w:t>新药证书或临床批件：1.1类新药证书，奖励20万元；其他一类新药证书，奖励3万元；1.1类临床批件，奖励5万元；其他一类临床批件，奖励1万元；其他类新药证书，奖励1万元；其他类临床批件，奖励0.5万元。新药证书或临床批件须源于中国药科大学的科研成果，排名前2位。</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九、</w:t>
      </w:r>
      <w:r w:rsidRPr="008A0FB1">
        <w:rPr>
          <w:rFonts w:ascii="方正仿宋_GBK" w:eastAsia="方正仿宋_GBK" w:hAnsi="仿宋" w:cs="宋体" w:hint="eastAsia"/>
          <w:color w:val="000000"/>
          <w:kern w:val="0"/>
          <w:sz w:val="32"/>
          <w:szCs w:val="32"/>
        </w:rPr>
        <w:t>授权专利：美日欧发明专利，每项奖励3万元；其他国家或地区发明专利，每项奖励1.5万元；国内发明专利，每项奖励0.3万元。以中国药科大学为独立专利权人获得授权的发明专利按此奖励。以中国药科大学为第一专利权人（专利权人两个或两个以上单位），获得授权的发明专利按照以中国药科大学为独立申请人奖励额度的50%给予奖励。同一优先权在不同国家授权的专利只奖励1次。</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十、</w:t>
      </w:r>
      <w:r w:rsidRPr="008A0FB1">
        <w:rPr>
          <w:rFonts w:ascii="方正仿宋_GBK" w:eastAsia="方正仿宋_GBK" w:hAnsi="仿宋" w:cs="宋体" w:hint="eastAsia"/>
          <w:color w:val="000000"/>
          <w:kern w:val="0"/>
          <w:sz w:val="32"/>
          <w:szCs w:val="32"/>
        </w:rPr>
        <w:t>科研项目：973、863首席科学家、国家自然科学基金创新群体负责人、国家自然基金重大研究计划总课题负责人，奖励5万元；重大科技专项关键技术负责人，立项经费超过300万元以上的重大科技专项负责人（候选药物、临床前药物）和创新团队负责人、教育部创新团队负责人，国家自然基金重点项目负责人、国家自然科学基金国际合作重大（重点）项目负责人，奖励3万元。项目承担单位必须是中国药科大学大学为第一承担单位</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方正楷体_GBK" w:eastAsia="方正楷体_GBK" w:hAnsi="仿宋" w:cs="宋体" w:hint="eastAsia"/>
          <w:color w:val="000000"/>
          <w:kern w:val="0"/>
          <w:sz w:val="32"/>
          <w:szCs w:val="32"/>
        </w:rPr>
        <w:t>十一、</w:t>
      </w:r>
      <w:r w:rsidRPr="008A0FB1">
        <w:rPr>
          <w:rFonts w:ascii="方正仿宋_GBK" w:eastAsia="方正仿宋_GBK" w:hAnsi="仿宋" w:cs="宋体" w:hint="eastAsia"/>
          <w:color w:val="000000"/>
          <w:kern w:val="0"/>
          <w:sz w:val="32"/>
          <w:szCs w:val="32"/>
        </w:rPr>
        <w:t>横向到账经费：当年累积横向经费个人到账超过200万元，奖励个人到账经费的0.5%；对以转让临床批件和新药证书为目的的项目，单个项目单笔到账100万元以上，奖励个人到账经费的0.5%。不重复奖励。</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黑体" w:eastAsia="黑体" w:hAnsi="黑体" w:cs="宋体" w:hint="eastAsia"/>
          <w:color w:val="000000"/>
          <w:kern w:val="0"/>
          <w:sz w:val="32"/>
          <w:szCs w:val="32"/>
        </w:rPr>
        <w:t>第六条</w:t>
      </w:r>
      <w:r w:rsidRPr="008A0FB1">
        <w:rPr>
          <w:rFonts w:ascii="方正仿宋_GBK" w:eastAsia="方正仿宋_GBK" w:hAnsi="仿宋" w:cs="宋体" w:hint="eastAsia"/>
          <w:color w:val="000000"/>
          <w:kern w:val="0"/>
          <w:sz w:val="32"/>
          <w:szCs w:val="32"/>
        </w:rPr>
        <w:t xml:space="preserve"> 除特殊说明外，以上成果均按项目第一负责人或通讯作者、第一作者认定，通讯作者和第一作者只能认定1人，第一负责人或作者署名单位应为中国药科大学且中国药科大学为第一完成单位。</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黑体" w:eastAsia="黑体" w:hAnsi="黑体" w:cs="宋体" w:hint="eastAsia"/>
          <w:color w:val="000000"/>
          <w:kern w:val="0"/>
          <w:sz w:val="32"/>
          <w:szCs w:val="32"/>
        </w:rPr>
        <w:t xml:space="preserve">第七条 </w:t>
      </w:r>
      <w:r w:rsidRPr="008A0FB1">
        <w:rPr>
          <w:rFonts w:ascii="方正仿宋_GBK" w:eastAsia="方正仿宋_GBK" w:hAnsi="仿宋" w:cs="宋体" w:hint="eastAsia"/>
          <w:color w:val="000000"/>
          <w:kern w:val="0"/>
          <w:sz w:val="32"/>
          <w:szCs w:val="32"/>
        </w:rPr>
        <w:t>同一成果</w:t>
      </w:r>
      <w:proofErr w:type="gramStart"/>
      <w:r w:rsidRPr="008A0FB1">
        <w:rPr>
          <w:rFonts w:ascii="方正仿宋_GBK" w:eastAsia="方正仿宋_GBK" w:hAnsi="仿宋" w:cs="宋体" w:hint="eastAsia"/>
          <w:color w:val="000000"/>
          <w:kern w:val="0"/>
          <w:sz w:val="32"/>
          <w:szCs w:val="32"/>
        </w:rPr>
        <w:t>获多种</w:t>
      </w:r>
      <w:proofErr w:type="gramEnd"/>
      <w:r w:rsidRPr="008A0FB1">
        <w:rPr>
          <w:rFonts w:ascii="方正仿宋_GBK" w:eastAsia="方正仿宋_GBK" w:hAnsi="仿宋" w:cs="宋体" w:hint="eastAsia"/>
          <w:color w:val="000000"/>
          <w:kern w:val="0"/>
          <w:sz w:val="32"/>
          <w:szCs w:val="32"/>
        </w:rPr>
        <w:t>奖励时，按最高等级认定，不重复奖励。</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黑体" w:eastAsia="黑体" w:hAnsi="黑体" w:cs="宋体" w:hint="eastAsia"/>
          <w:color w:val="000000"/>
          <w:kern w:val="0"/>
          <w:sz w:val="32"/>
          <w:szCs w:val="32"/>
        </w:rPr>
        <w:t>第八条</w:t>
      </w:r>
      <w:r w:rsidRPr="008A0FB1">
        <w:rPr>
          <w:rFonts w:ascii="方正仿宋_GBK" w:eastAsia="方正仿宋_GBK" w:hAnsi="仿宋" w:cs="宋体" w:hint="eastAsia"/>
          <w:color w:val="000000"/>
          <w:kern w:val="0"/>
          <w:sz w:val="32"/>
          <w:szCs w:val="32"/>
        </w:rPr>
        <w:t xml:space="preserve"> 科研成果、教学成果均以项目计。</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黑体" w:eastAsia="黑体" w:hAnsi="黑体" w:cs="宋体" w:hint="eastAsia"/>
          <w:color w:val="000000"/>
          <w:kern w:val="0"/>
          <w:sz w:val="32"/>
          <w:szCs w:val="32"/>
        </w:rPr>
        <w:t>第九条</w:t>
      </w:r>
      <w:r w:rsidRPr="008A0FB1">
        <w:rPr>
          <w:rFonts w:ascii="方正仿宋_GBK" w:eastAsia="方正仿宋_GBK" w:hAnsi="仿宋" w:cs="宋体" w:hint="eastAsia"/>
          <w:color w:val="000000"/>
          <w:kern w:val="0"/>
          <w:sz w:val="32"/>
          <w:szCs w:val="32"/>
        </w:rPr>
        <w:t xml:space="preserve"> 对于中国药科大学为第二完成单位的国家级教学或科技奖，按照学校奖励标准的20%奖励；省部级教学或科技奖，按照学校奖励标准的10%奖励。</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黑体" w:eastAsia="黑体" w:hAnsi="黑体" w:cs="宋体" w:hint="eastAsia"/>
          <w:color w:val="000000"/>
          <w:kern w:val="0"/>
          <w:sz w:val="32"/>
          <w:szCs w:val="32"/>
        </w:rPr>
        <w:t>第十条</w:t>
      </w:r>
      <w:r w:rsidRPr="008A0FB1">
        <w:rPr>
          <w:rFonts w:ascii="方正仿宋_GBK" w:eastAsia="方正仿宋_GBK" w:hAnsi="仿宋" w:cs="宋体" w:hint="eastAsia"/>
          <w:color w:val="000000"/>
          <w:kern w:val="0"/>
          <w:sz w:val="32"/>
          <w:szCs w:val="32"/>
        </w:rPr>
        <w:t xml:space="preserve"> 本办法所需经费由学校专项列支。</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黑体" w:eastAsia="黑体" w:hAnsi="黑体" w:cs="宋体" w:hint="eastAsia"/>
          <w:color w:val="000000"/>
          <w:kern w:val="0"/>
          <w:sz w:val="32"/>
          <w:szCs w:val="32"/>
        </w:rPr>
        <w:t>第十一条</w:t>
      </w:r>
      <w:r w:rsidRPr="008A0FB1">
        <w:rPr>
          <w:rFonts w:ascii="方正仿宋_GBK" w:eastAsia="方正仿宋_GBK" w:hAnsi="仿宋" w:cs="宋体" w:hint="eastAsia"/>
          <w:color w:val="000000"/>
          <w:kern w:val="0"/>
          <w:sz w:val="32"/>
          <w:szCs w:val="32"/>
        </w:rPr>
        <w:t xml:space="preserve"> 本办法由人事处负责解释。</w:t>
      </w:r>
    </w:p>
    <w:p w:rsidR="008A0FB1" w:rsidRPr="008A0FB1" w:rsidRDefault="008A0FB1" w:rsidP="008A0FB1">
      <w:pPr>
        <w:widowControl/>
        <w:spacing w:line="600" w:lineRule="exact"/>
        <w:ind w:firstLineChars="200" w:firstLine="640"/>
        <w:jc w:val="left"/>
        <w:rPr>
          <w:rFonts w:ascii="宋体" w:eastAsia="宋体" w:hAnsi="宋体" w:cs="宋体"/>
          <w:color w:val="4A4A4A"/>
          <w:kern w:val="0"/>
          <w:sz w:val="24"/>
          <w:szCs w:val="24"/>
        </w:rPr>
      </w:pPr>
      <w:r w:rsidRPr="008A0FB1">
        <w:rPr>
          <w:rFonts w:ascii="黑体" w:eastAsia="黑体" w:hAnsi="黑体" w:cs="宋体" w:hint="eastAsia"/>
          <w:color w:val="000000"/>
          <w:kern w:val="0"/>
          <w:sz w:val="32"/>
          <w:szCs w:val="32"/>
        </w:rPr>
        <w:t>第十二条</w:t>
      </w:r>
      <w:r w:rsidRPr="008A0FB1">
        <w:rPr>
          <w:rFonts w:ascii="方正仿宋_GBK" w:eastAsia="方正仿宋_GBK" w:hAnsi="仿宋" w:cs="宋体" w:hint="eastAsia"/>
          <w:color w:val="000000"/>
          <w:kern w:val="0"/>
          <w:sz w:val="32"/>
          <w:szCs w:val="32"/>
        </w:rPr>
        <w:t xml:space="preserve"> 本办法自2013年1月1日起施行。</w:t>
      </w:r>
    </w:p>
    <w:tbl>
      <w:tblPr>
        <w:tblW w:w="8790" w:type="dxa"/>
        <w:tblLayout w:type="fixed"/>
        <w:tblLook w:val="00A0"/>
      </w:tblPr>
      <w:tblGrid>
        <w:gridCol w:w="8323"/>
        <w:gridCol w:w="467"/>
      </w:tblGrid>
      <w:tr w:rsidR="008A0FB1" w:rsidRPr="008A0FB1" w:rsidTr="008A0FB1">
        <w:trPr>
          <w:trHeight w:val="624"/>
        </w:trPr>
        <w:tc>
          <w:tcPr>
            <w:tcW w:w="8789" w:type="dxa"/>
            <w:vMerge w:val="restart"/>
            <w:tcBorders>
              <w:top w:val="nil"/>
              <w:left w:val="nil"/>
              <w:bottom w:val="nil"/>
              <w:right w:val="nil"/>
            </w:tcBorders>
            <w:shd w:val="clear" w:color="auto" w:fill="auto"/>
            <w:vAlign w:val="center"/>
            <w:hideMark/>
          </w:tcPr>
          <w:p w:rsidR="008A0FB1" w:rsidRPr="008A0FB1" w:rsidRDefault="008A0FB1" w:rsidP="008A0FB1">
            <w:pPr>
              <w:widowControl/>
              <w:jc w:val="left"/>
              <w:rPr>
                <w:rFonts w:ascii="宋体" w:eastAsia="宋体" w:hAnsi="宋体" w:cs="宋体"/>
                <w:kern w:val="0"/>
                <w:sz w:val="18"/>
                <w:szCs w:val="18"/>
              </w:rPr>
            </w:pPr>
          </w:p>
        </w:tc>
        <w:tc>
          <w:tcPr>
            <w:tcW w:w="480" w:type="dxa"/>
            <w:tcBorders>
              <w:top w:val="nil"/>
              <w:left w:val="nil"/>
              <w:bottom w:val="nil"/>
              <w:right w:val="nil"/>
            </w:tcBorders>
            <w:shd w:val="clear" w:color="auto" w:fill="auto"/>
            <w:vAlign w:val="center"/>
            <w:hideMark/>
          </w:tcPr>
          <w:p w:rsidR="008A0FB1" w:rsidRPr="008A0FB1" w:rsidRDefault="008A0FB1" w:rsidP="008A0FB1">
            <w:pPr>
              <w:widowControl/>
              <w:spacing w:line="300" w:lineRule="atLeast"/>
              <w:jc w:val="left"/>
              <w:rPr>
                <w:rFonts w:ascii="宋体" w:eastAsia="宋体" w:hAnsi="宋体" w:cs="宋体"/>
                <w:kern w:val="0"/>
                <w:sz w:val="18"/>
                <w:szCs w:val="18"/>
              </w:rPr>
            </w:pPr>
          </w:p>
        </w:tc>
      </w:tr>
      <w:tr w:rsidR="008A0FB1" w:rsidRPr="008A0FB1" w:rsidTr="008A0FB1">
        <w:trPr>
          <w:trHeight w:val="600"/>
        </w:trPr>
        <w:tc>
          <w:tcPr>
            <w:tcW w:w="8789" w:type="dxa"/>
            <w:vMerge/>
            <w:tcBorders>
              <w:top w:val="nil"/>
              <w:left w:val="nil"/>
              <w:bottom w:val="nil"/>
              <w:right w:val="nil"/>
            </w:tcBorders>
            <w:vAlign w:val="center"/>
            <w:hideMark/>
          </w:tcPr>
          <w:p w:rsidR="008A0FB1" w:rsidRPr="008A0FB1" w:rsidRDefault="008A0FB1" w:rsidP="008A0FB1">
            <w:pPr>
              <w:widowControl/>
              <w:jc w:val="left"/>
              <w:rPr>
                <w:rFonts w:ascii="宋体" w:eastAsia="宋体" w:hAnsi="宋体" w:cs="宋体"/>
                <w:kern w:val="0"/>
                <w:sz w:val="18"/>
                <w:szCs w:val="18"/>
              </w:rPr>
            </w:pPr>
          </w:p>
        </w:tc>
        <w:tc>
          <w:tcPr>
            <w:tcW w:w="480" w:type="dxa"/>
            <w:tcBorders>
              <w:top w:val="nil"/>
              <w:left w:val="nil"/>
              <w:bottom w:val="nil"/>
              <w:right w:val="nil"/>
            </w:tcBorders>
            <w:shd w:val="clear" w:color="auto" w:fill="auto"/>
            <w:vAlign w:val="center"/>
            <w:hideMark/>
          </w:tcPr>
          <w:p w:rsidR="008A0FB1" w:rsidRPr="008A0FB1" w:rsidRDefault="008A0FB1" w:rsidP="008A0FB1">
            <w:pPr>
              <w:widowControl/>
              <w:spacing w:line="300" w:lineRule="atLeast"/>
              <w:jc w:val="left"/>
              <w:rPr>
                <w:rFonts w:ascii="宋体" w:eastAsia="宋体" w:hAnsi="宋体" w:cs="宋体"/>
                <w:kern w:val="0"/>
                <w:sz w:val="18"/>
                <w:szCs w:val="18"/>
              </w:rPr>
            </w:pPr>
          </w:p>
        </w:tc>
      </w:tr>
    </w:tbl>
    <w:p w:rsidR="008A0FB1" w:rsidRPr="008A0FB1" w:rsidRDefault="008A0FB1" w:rsidP="008A0FB1">
      <w:pPr>
        <w:widowControl/>
        <w:spacing w:before="100" w:beforeAutospacing="1" w:after="100" w:afterAutospacing="1" w:line="260" w:lineRule="atLeast"/>
        <w:rPr>
          <w:rFonts w:ascii="宋体" w:eastAsia="宋体" w:hAnsi="宋体" w:cs="宋体"/>
          <w:color w:val="000000"/>
          <w:kern w:val="0"/>
          <w:sz w:val="28"/>
          <w:szCs w:val="28"/>
        </w:rPr>
        <w:sectPr w:rsidR="008A0FB1" w:rsidRPr="008A0FB1">
          <w:pgSz w:w="12240" w:h="15840"/>
          <w:pgMar w:top="1440" w:right="1800" w:bottom="1440" w:left="1800" w:header="720" w:footer="720" w:gutter="0"/>
          <w:cols w:space="720"/>
        </w:sectPr>
      </w:pPr>
    </w:p>
    <w:tbl>
      <w:tblPr>
        <w:tblW w:w="15180" w:type="dxa"/>
        <w:tblInd w:w="93" w:type="dxa"/>
        <w:tblLayout w:type="fixed"/>
        <w:tblLook w:val="00A0"/>
      </w:tblPr>
      <w:tblGrid>
        <w:gridCol w:w="14046"/>
        <w:gridCol w:w="1134"/>
      </w:tblGrid>
      <w:tr w:rsidR="008A0FB1" w:rsidRPr="008A0FB1" w:rsidTr="008A0FB1">
        <w:trPr>
          <w:trHeight w:val="345"/>
        </w:trPr>
        <w:tc>
          <w:tcPr>
            <w:tcW w:w="15183" w:type="dxa"/>
            <w:gridSpan w:val="2"/>
            <w:tcBorders>
              <w:top w:val="nil"/>
              <w:left w:val="nil"/>
              <w:bottom w:val="nil"/>
              <w:right w:val="nil"/>
            </w:tcBorders>
            <w:shd w:val="clear" w:color="auto" w:fill="auto"/>
            <w:noWrap/>
            <w:vAlign w:val="center"/>
            <w:hideMark/>
          </w:tcPr>
          <w:p w:rsidR="008A0FB1" w:rsidRPr="008A0FB1" w:rsidRDefault="008A0FB1" w:rsidP="008A0FB1">
            <w:pPr>
              <w:widowControl/>
              <w:spacing w:line="300" w:lineRule="atLeast"/>
              <w:jc w:val="center"/>
              <w:rPr>
                <w:rFonts w:ascii="宋体" w:eastAsia="宋体" w:hAnsi="宋体" w:cs="宋体"/>
                <w:kern w:val="0"/>
                <w:sz w:val="24"/>
                <w:szCs w:val="24"/>
              </w:rPr>
            </w:pPr>
            <w:r w:rsidRPr="008A0FB1">
              <w:rPr>
                <w:rFonts w:ascii="方正小标宋_GBK" w:eastAsia="方正小标宋_GBK" w:hAnsi="宋体" w:cs="宋体" w:hint="eastAsia"/>
                <w:color w:val="000000"/>
                <w:kern w:val="0"/>
                <w:sz w:val="44"/>
                <w:szCs w:val="44"/>
              </w:rPr>
              <w:t>中国药科大学专项津贴种类及标准一览表</w:t>
            </w:r>
          </w:p>
        </w:tc>
      </w:tr>
      <w:tr w:rsidR="008A0FB1" w:rsidRPr="008A0FB1" w:rsidTr="008A0FB1">
        <w:trPr>
          <w:trHeight w:val="2250"/>
        </w:trPr>
        <w:tc>
          <w:tcPr>
            <w:tcW w:w="15183" w:type="dxa"/>
            <w:gridSpan w:val="2"/>
            <w:tcBorders>
              <w:top w:val="nil"/>
              <w:left w:val="nil"/>
              <w:bottom w:val="nil"/>
              <w:right w:val="nil"/>
            </w:tcBorders>
            <w:shd w:val="clear" w:color="auto" w:fill="auto"/>
            <w:vAlign w:val="center"/>
            <w:hideMark/>
          </w:tcPr>
          <w:tbl>
            <w:tblPr>
              <w:tblW w:w="139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525"/>
              <w:gridCol w:w="3119"/>
              <w:gridCol w:w="4288"/>
              <w:gridCol w:w="1288"/>
              <w:gridCol w:w="3715"/>
            </w:tblGrid>
            <w:tr w:rsidR="008A0FB1" w:rsidRPr="008A0FB1">
              <w:trPr>
                <w:trHeight w:val="540"/>
              </w:trPr>
              <w:tc>
                <w:tcPr>
                  <w:tcW w:w="15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黑体" w:eastAsia="黑体" w:hAnsi="黑体" w:cs="宋体" w:hint="eastAsia"/>
                      <w:color w:val="000000"/>
                      <w:kern w:val="0"/>
                      <w:sz w:val="24"/>
                      <w:szCs w:val="24"/>
                    </w:rPr>
                    <w:t>项目名称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黑体" w:eastAsia="黑体" w:hAnsi="黑体" w:cs="宋体" w:hint="eastAsia"/>
                      <w:color w:val="000000"/>
                      <w:kern w:val="0"/>
                      <w:sz w:val="24"/>
                      <w:szCs w:val="24"/>
                    </w:rPr>
                    <w:t>子项目名称</w:t>
                  </w: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黑体" w:eastAsia="黑体" w:hAnsi="黑体" w:cs="宋体" w:hint="eastAsia"/>
                      <w:color w:val="000000"/>
                      <w:kern w:val="0"/>
                      <w:sz w:val="24"/>
                      <w:szCs w:val="24"/>
                    </w:rPr>
                    <w:t>奖励等级</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黑体" w:eastAsia="黑体" w:hAnsi="黑体" w:cs="宋体" w:hint="eastAsia"/>
                      <w:color w:val="000000"/>
                      <w:kern w:val="0"/>
                      <w:sz w:val="24"/>
                      <w:szCs w:val="24"/>
                    </w:rPr>
                    <w:t>奖励额度（万元）</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黑体" w:eastAsia="黑体" w:hAnsi="黑体" w:cs="宋体" w:hint="eastAsia"/>
                      <w:color w:val="000000"/>
                      <w:kern w:val="0"/>
                      <w:sz w:val="24"/>
                      <w:szCs w:val="24"/>
                    </w:rPr>
                    <w:t>备注</w:t>
                  </w:r>
                </w:p>
              </w:tc>
            </w:tr>
            <w:tr w:rsidR="008A0FB1" w:rsidRPr="008A0FB1">
              <w:trPr>
                <w:trHeight w:val="540"/>
              </w:trPr>
              <w:tc>
                <w:tcPr>
                  <w:tcW w:w="152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教学奖励</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教学成果奖</w:t>
                  </w: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国家级特等奖</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c>
                <w:tcPr>
                  <w:tcW w:w="371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学校按照国家和省里的奖励标准1:1配套，同一项目以最高奖项</w:t>
                  </w:r>
                </w:p>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给予奖励</w:t>
                  </w: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国家级一等奖</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国家级二等奖</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省级特等奖</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省级一等奖</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省级二等奖</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课程建设</w:t>
                  </w: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国家级精品开放课程</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2/门</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课程竞赛或课件奖励</w:t>
                  </w: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国家级一等奖</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1/项</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国家级二等奖、省级一等奖</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0.5/项</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省级二等奖</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0.3/项</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成功获批专业、实践基地、人才培养项目、实验中心等重大教学改革建设项目</w:t>
                  </w: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国家级</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1</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奖励团队</w:t>
                  </w: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教材类</w:t>
                  </w: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国家级优秀教材</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3/本</w:t>
                  </w:r>
                </w:p>
              </w:tc>
              <w:tc>
                <w:tcPr>
                  <w:tcW w:w="371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所奖励教材必须是正式出版的，</w:t>
                  </w:r>
                </w:p>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中国药科大学为主编单位</w:t>
                  </w: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国家级规划教材</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1/本</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540"/>
              </w:trPr>
              <w:tc>
                <w:tcPr>
                  <w:tcW w:w="152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人才培养</w:t>
                  </w:r>
                </w:p>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奖励</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优秀教师或教学团队</w:t>
                  </w: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国家级教学名师（含国家设置的各类名师称号）</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3</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不重复奖励</w:t>
                  </w: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国家级教学团队</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3</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江苏省教学名师</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1</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江苏省教学团队</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1</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优秀学位论文指导教师</w:t>
                  </w: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国家级优秀博士论文</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2</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国家级优秀博士论文提名奖</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1</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江苏省优秀博士论文</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0.5</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江苏省优秀硕士论文</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0.2</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江苏省优秀本科毕业论文一等奖</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0.2</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江苏省优秀本科毕业论文设计团队</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0.5</w:t>
                  </w: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学生科技活动、学科竞赛或文体赛事指导教师</w:t>
                  </w: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国际一等奖</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1</w:t>
                  </w:r>
                </w:p>
              </w:tc>
              <w:tc>
                <w:tcPr>
                  <w:tcW w:w="371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体育赛事获奖按照第1-2名等同于一等奖、第3-4名等同于二等奖、第5-8名等同于三等奖计算。</w:t>
                  </w: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国际二、三等奖及国家级一等奖</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0.8</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54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国家级二、三等奖</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0.5</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540"/>
              </w:trPr>
              <w:tc>
                <w:tcPr>
                  <w:tcW w:w="152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黑体" w:cs="宋体" w:hint="eastAsia"/>
                      <w:color w:val="000000"/>
                      <w:kern w:val="0"/>
                      <w:sz w:val="24"/>
                      <w:szCs w:val="24"/>
                    </w:rPr>
                    <w:t>科技奖励</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宋体" w:cs="宋体" w:hint="eastAsia"/>
                      <w:kern w:val="0"/>
                      <w:sz w:val="24"/>
                      <w:szCs w:val="24"/>
                    </w:rPr>
                    <w:t>科技奖</w:t>
                  </w:r>
                </w:p>
              </w:tc>
              <w:tc>
                <w:tcPr>
                  <w:tcW w:w="4287"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国家级最高科学技术奖、国家自然科学奖、国家技术发明奖、国家科技进步奖、省级科学技术奖、高等学校科学研究优秀成果奖（科学技术）、省部级哲学社会科学优秀成果奖、国家级和省级专利奖等奖项</w:t>
                  </w:r>
                </w:p>
              </w:tc>
              <w:tc>
                <w:tcPr>
                  <w:tcW w:w="1288" w:type="dxa"/>
                  <w:tcBorders>
                    <w:top w:val="single" w:sz="6" w:space="0" w:color="auto"/>
                    <w:left w:val="single" w:sz="6" w:space="0" w:color="auto"/>
                    <w:bottom w:val="single" w:sz="6" w:space="0" w:color="auto"/>
                    <w:right w:val="single" w:sz="6" w:space="0" w:color="auto"/>
                  </w:tcBorders>
                  <w:shd w:val="clear" w:color="auto" w:fill="FFFFFF"/>
                  <w:hideMark/>
                </w:tcPr>
                <w:p w:rsidR="008A0FB1" w:rsidRPr="008A0FB1" w:rsidRDefault="008A0FB1" w:rsidP="008A0FB1">
                  <w:pPr>
                    <w:widowControl/>
                    <w:jc w:val="left"/>
                    <w:rPr>
                      <w:rFonts w:ascii="宋体" w:eastAsia="宋体" w:hAnsi="宋体" w:cs="宋体"/>
                      <w:kern w:val="0"/>
                      <w:sz w:val="18"/>
                      <w:szCs w:val="18"/>
                    </w:rPr>
                  </w:pPr>
                </w:p>
              </w:tc>
              <w:tc>
                <w:tcPr>
                  <w:tcW w:w="3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方正仿宋_GBK" w:eastAsia="方正仿宋_GBK" w:hAnsi="仿宋" w:cs="宋体" w:hint="eastAsia"/>
                      <w:color w:val="000000"/>
                      <w:kern w:val="0"/>
                      <w:sz w:val="24"/>
                      <w:szCs w:val="24"/>
                    </w:rPr>
                    <w:t>学校按照国家和省里的奖励标准1:1配套。同一奖项以最高</w:t>
                  </w:r>
                  <w:proofErr w:type="gramStart"/>
                  <w:r w:rsidRPr="008A0FB1">
                    <w:rPr>
                      <w:rFonts w:ascii="方正仿宋_GBK" w:eastAsia="方正仿宋_GBK" w:hAnsi="仿宋" w:cs="宋体" w:hint="eastAsia"/>
                      <w:color w:val="000000"/>
                      <w:kern w:val="0"/>
                      <w:sz w:val="24"/>
                      <w:szCs w:val="24"/>
                    </w:rPr>
                    <w:t>奖给予</w:t>
                  </w:r>
                  <w:proofErr w:type="gramEnd"/>
                  <w:r w:rsidRPr="008A0FB1">
                    <w:rPr>
                      <w:rFonts w:ascii="方正仿宋_GBK" w:eastAsia="方正仿宋_GBK" w:hAnsi="仿宋" w:cs="宋体" w:hint="eastAsia"/>
                      <w:color w:val="000000"/>
                      <w:kern w:val="0"/>
                      <w:sz w:val="24"/>
                      <w:szCs w:val="24"/>
                    </w:rPr>
                    <w:t>奖励。</w:t>
                  </w:r>
                </w:p>
              </w:tc>
            </w:tr>
            <w:tr w:rsidR="008A0FB1" w:rsidRPr="008A0FB1">
              <w:trPr>
                <w:trHeight w:val="42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SCI研究性论文</w:t>
                  </w: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在《Cell》、《NATURE》、《SCIENCE》正刊上发表论文</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20/篇</w:t>
                  </w:r>
                </w:p>
              </w:tc>
              <w:tc>
                <w:tcPr>
                  <w:tcW w:w="371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45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影响因子≥10.0</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3/篇</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45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5.0≤影响因子&lt;10.0</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0.7 /篇</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45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3.0≤影响因子&lt;5.0</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0.3 /篇</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42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影响因子&lt;3</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0.1/篇</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42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SCI综述性论文</w:t>
                  </w:r>
                </w:p>
              </w:tc>
              <w:tc>
                <w:tcPr>
                  <w:tcW w:w="557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按SCI研究性论文标准减半</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42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SSCI</w:t>
                  </w: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0.5/篇</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42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人文社科类高水平论文</w:t>
                  </w: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论文在《中国社会科学》、《管理世界》上发表</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0.4/篇</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978"/>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论文在《马克思主义研究》、《哲学研究》、《世界经济与政治》、《经济研究》、《中国法学》、《中国图书馆学报》、《外语教学与研究》、《体育科学》、《教育研究》等各学科顶尖刊物上发表</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0.2/篇</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398"/>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单篇论文5年内他引次数（从发表的第二年算起）</w:t>
                  </w: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引用次数≥50</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2/篇</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412"/>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30≤引用次数&lt;50</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0.5/篇</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418"/>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20≤引用次数&lt;30</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0.3/篇</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41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EI（会议论文除外）</w:t>
                  </w: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jc w:val="left"/>
                    <w:rPr>
                      <w:rFonts w:ascii="宋体" w:eastAsia="宋体" w:hAnsi="宋体" w:cs="宋体"/>
                      <w:kern w:val="0"/>
                      <w:sz w:val="18"/>
                      <w:szCs w:val="18"/>
                    </w:rPr>
                  </w:pP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0.05/篇</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trPr>
                <w:trHeight w:val="27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新药证书或临床批件</w:t>
                  </w: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1.1类新药证书</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20</w:t>
                  </w:r>
                </w:p>
              </w:tc>
              <w:tc>
                <w:tcPr>
                  <w:tcW w:w="371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新药证书或临床批件须源于中国药科大学的科研成果，排名前2位。</w:t>
                  </w:r>
                </w:p>
              </w:tc>
            </w:tr>
            <w:tr w:rsidR="008A0FB1" w:rsidRPr="008A0FB1">
              <w:trPr>
                <w:trHeight w:val="27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其他一类新药证书</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3</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27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1.1类临床批件</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5</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27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其他一类临床批件</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1</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27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其他类新药证书</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1</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27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其他类临床批件</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0.5</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465"/>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授权专利</w:t>
                  </w: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美日欧发明专利</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3</w:t>
                  </w:r>
                </w:p>
              </w:tc>
              <w:tc>
                <w:tcPr>
                  <w:tcW w:w="371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以中国药科大学为独立专利权人获得授权的发明专利按此奖励。以中国药科大学为第一专利权人（专利权人两个或两个以上单位），获得授权的发明专利按照以中国药科大学为独立申请人奖励额度的50%给予奖励。同一优先权在不同国家授权的专利只奖励1次。</w:t>
                  </w:r>
                </w:p>
              </w:tc>
            </w:tr>
            <w:tr w:rsidR="008A0FB1" w:rsidRPr="008A0FB1">
              <w:trPr>
                <w:trHeight w:val="465"/>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其他国家或地区发明专利</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1.5</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465"/>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国内发明专利</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0.3</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975"/>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科研项目</w:t>
                  </w: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973、863首席科学家，国家自然科学基金创新群体负责人，国家自然基金重大研究计划总课题负责人</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5</w:t>
                  </w:r>
                </w:p>
              </w:tc>
              <w:tc>
                <w:tcPr>
                  <w:tcW w:w="371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项目承担单位必须是中国药科大学大学为第一承担单位</w:t>
                  </w:r>
                </w:p>
              </w:tc>
            </w:tr>
            <w:tr w:rsidR="008A0FB1" w:rsidRPr="008A0FB1">
              <w:trPr>
                <w:trHeight w:val="96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重大科技专项关键技术负责人，立项经费超过300万元以上的重大科技专项负责人（候选药物、临床前药物）和创新团队负责人、教育部创新团队负责人，国家自然基金重点项目负责人、国家自然科学基金国际合作重大（重点）项目负责人</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3</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r w:rsidR="008A0FB1" w:rsidRPr="008A0FB1">
              <w:trPr>
                <w:trHeight w:val="27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横向到账经费</w:t>
                  </w: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当年累积横向经费个人到账超过200万元</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奖励个人到账经费的0.5%</w:t>
                  </w:r>
                </w:p>
              </w:tc>
              <w:tc>
                <w:tcPr>
                  <w:tcW w:w="371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不重复奖励。</w:t>
                  </w:r>
                </w:p>
              </w:tc>
            </w:tr>
            <w:tr w:rsidR="008A0FB1" w:rsidRPr="008A0FB1">
              <w:trPr>
                <w:trHeight w:val="270"/>
              </w:trPr>
              <w:tc>
                <w:tcPr>
                  <w:tcW w:w="1525"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c>
                <w:tcPr>
                  <w:tcW w:w="42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对以转让临床批件和新药证书为目的的项目，单个项目单笔到账100万元以上</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0FB1" w:rsidRPr="008A0FB1" w:rsidRDefault="008A0FB1" w:rsidP="008A0FB1">
                  <w:pPr>
                    <w:widowControl/>
                    <w:spacing w:line="400" w:lineRule="exact"/>
                    <w:jc w:val="center"/>
                    <w:rPr>
                      <w:rFonts w:ascii="宋体" w:eastAsia="宋体" w:hAnsi="宋体" w:cs="宋体"/>
                      <w:kern w:val="0"/>
                      <w:sz w:val="24"/>
                      <w:szCs w:val="24"/>
                    </w:rPr>
                  </w:pPr>
                  <w:r w:rsidRPr="008A0FB1">
                    <w:rPr>
                      <w:rFonts w:ascii="仿宋" w:eastAsia="仿宋" w:hAnsi="仿宋" w:cs="宋体" w:hint="eastAsia"/>
                      <w:color w:val="000000"/>
                      <w:kern w:val="0"/>
                      <w:sz w:val="24"/>
                      <w:szCs w:val="24"/>
                    </w:rPr>
                    <w:t>奖励个人到账经费的0.5%</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8A0FB1" w:rsidRPr="008A0FB1" w:rsidRDefault="008A0FB1" w:rsidP="008A0FB1">
                  <w:pPr>
                    <w:widowControl/>
                    <w:jc w:val="left"/>
                    <w:rPr>
                      <w:rFonts w:ascii="宋体" w:eastAsia="宋体" w:hAnsi="宋体" w:cs="宋体"/>
                      <w:kern w:val="0"/>
                      <w:sz w:val="24"/>
                      <w:szCs w:val="24"/>
                    </w:rPr>
                  </w:pPr>
                </w:p>
              </w:tc>
            </w:tr>
          </w:tbl>
          <w:p w:rsidR="008A0FB1" w:rsidRPr="008A0FB1" w:rsidRDefault="008A0FB1" w:rsidP="008A0FB1">
            <w:pPr>
              <w:widowControl/>
              <w:jc w:val="left"/>
              <w:rPr>
                <w:rFonts w:ascii="宋体" w:eastAsia="宋体" w:hAnsi="宋体" w:cs="宋体"/>
                <w:kern w:val="0"/>
                <w:sz w:val="18"/>
                <w:szCs w:val="18"/>
              </w:rPr>
            </w:pPr>
          </w:p>
        </w:tc>
      </w:tr>
      <w:tr w:rsidR="008A0FB1" w:rsidRPr="008A0FB1" w:rsidTr="008A0FB1">
        <w:trPr>
          <w:gridAfter w:val="1"/>
          <w:wAfter w:w="1134" w:type="dxa"/>
          <w:trHeight w:val="270"/>
        </w:trPr>
        <w:tc>
          <w:tcPr>
            <w:tcW w:w="14049" w:type="dxa"/>
            <w:tcBorders>
              <w:top w:val="nil"/>
              <w:left w:val="nil"/>
              <w:bottom w:val="nil"/>
              <w:right w:val="nil"/>
            </w:tcBorders>
            <w:shd w:val="clear" w:color="auto" w:fill="auto"/>
            <w:vAlign w:val="center"/>
            <w:hideMark/>
          </w:tcPr>
          <w:p w:rsidR="008A0FB1" w:rsidRPr="008A0FB1" w:rsidRDefault="008A0FB1" w:rsidP="008A0FB1">
            <w:pPr>
              <w:widowControl/>
              <w:jc w:val="left"/>
              <w:rPr>
                <w:rFonts w:ascii="宋体" w:eastAsia="宋体" w:hAnsi="宋体" w:cs="宋体"/>
                <w:kern w:val="0"/>
                <w:sz w:val="18"/>
                <w:szCs w:val="18"/>
              </w:rPr>
            </w:pPr>
          </w:p>
        </w:tc>
      </w:tr>
      <w:tr w:rsidR="008A0FB1" w:rsidRPr="008A0FB1" w:rsidTr="008A0FB1">
        <w:trPr>
          <w:gridAfter w:val="1"/>
          <w:wAfter w:w="1134" w:type="dxa"/>
          <w:trHeight w:val="270"/>
        </w:trPr>
        <w:tc>
          <w:tcPr>
            <w:tcW w:w="14049" w:type="dxa"/>
            <w:tcBorders>
              <w:top w:val="nil"/>
              <w:left w:val="nil"/>
              <w:bottom w:val="nil"/>
              <w:right w:val="nil"/>
            </w:tcBorders>
            <w:shd w:val="clear" w:color="auto" w:fill="auto"/>
            <w:vAlign w:val="center"/>
            <w:hideMark/>
          </w:tcPr>
          <w:p w:rsidR="008A0FB1" w:rsidRPr="008A0FB1" w:rsidRDefault="008A0FB1" w:rsidP="008A0FB1">
            <w:pPr>
              <w:widowControl/>
              <w:jc w:val="left"/>
              <w:rPr>
                <w:rFonts w:ascii="宋体" w:eastAsia="宋体" w:hAnsi="宋体" w:cs="宋体"/>
                <w:kern w:val="0"/>
                <w:sz w:val="18"/>
                <w:szCs w:val="18"/>
              </w:rPr>
            </w:pPr>
          </w:p>
        </w:tc>
      </w:tr>
    </w:tbl>
    <w:p w:rsidR="008A0FB1" w:rsidRPr="008A0FB1" w:rsidRDefault="008A0FB1" w:rsidP="008A0FB1">
      <w:pPr>
        <w:widowControl/>
        <w:spacing w:before="100" w:beforeAutospacing="1" w:after="100" w:afterAutospacing="1" w:line="260" w:lineRule="atLeast"/>
        <w:rPr>
          <w:rFonts w:ascii="Times New Roman" w:eastAsia="宋体" w:hAnsi="Times New Roman" w:cs="Times New Roman"/>
          <w:color w:val="4A4A4A"/>
          <w:kern w:val="0"/>
          <w:sz w:val="24"/>
          <w:szCs w:val="24"/>
        </w:rPr>
        <w:sectPr w:rsidR="008A0FB1" w:rsidRPr="008A0FB1">
          <w:pgSz w:w="12240" w:h="15840"/>
          <w:pgMar w:top="1440" w:right="1800" w:bottom="1440" w:left="1800" w:header="720" w:footer="720" w:gutter="0"/>
          <w:cols w:space="720"/>
        </w:sectPr>
      </w:pPr>
    </w:p>
    <w:p w:rsidR="005D506B" w:rsidRDefault="005D506B"/>
    <w:sectPr w:rsidR="005D506B" w:rsidSect="005D50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comment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A0FB1"/>
    <w:rsid w:val="005D506B"/>
    <w:rsid w:val="006E5C92"/>
    <w:rsid w:val="008A0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FB1"/>
    <w:pPr>
      <w:widowControl/>
      <w:spacing w:before="100" w:beforeAutospacing="1" w:after="100" w:afterAutospacing="1" w:line="260"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31512437">
      <w:bodyDiv w:val="1"/>
      <w:marLeft w:val="0"/>
      <w:marRight w:val="0"/>
      <w:marTop w:val="0"/>
      <w:marBottom w:val="0"/>
      <w:divBdr>
        <w:top w:val="none" w:sz="0" w:space="0" w:color="auto"/>
        <w:left w:val="none" w:sz="0" w:space="0" w:color="auto"/>
        <w:bottom w:val="none" w:sz="0" w:space="0" w:color="auto"/>
        <w:right w:val="none" w:sz="0" w:space="0" w:color="auto"/>
      </w:divBdr>
      <w:divsChild>
        <w:div w:id="137504109">
          <w:marLeft w:val="0"/>
          <w:marRight w:val="0"/>
          <w:marTop w:val="0"/>
          <w:marBottom w:val="0"/>
          <w:divBdr>
            <w:top w:val="none" w:sz="0" w:space="0" w:color="auto"/>
            <w:left w:val="none" w:sz="0" w:space="0" w:color="auto"/>
            <w:bottom w:val="none" w:sz="0" w:space="0" w:color="auto"/>
            <w:right w:val="none" w:sz="0" w:space="0" w:color="auto"/>
          </w:divBdr>
        </w:div>
        <w:div w:id="136795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638</Words>
  <Characters>3641</Characters>
  <Application>Microsoft Office Word</Application>
  <DocSecurity>0</DocSecurity>
  <Lines>30</Lines>
  <Paragraphs>8</Paragraphs>
  <ScaleCrop>false</ScaleCrop>
  <Company>Lenovo</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王保光</dc:creator>
  <cp:lastModifiedBy>王保光</cp:lastModifiedBy>
  <cp:revision>1</cp:revision>
  <dcterms:created xsi:type="dcterms:W3CDTF">2015-06-26T06:26:00Z</dcterms:created>
  <dcterms:modified xsi:type="dcterms:W3CDTF">2015-06-26T06:27:00Z</dcterms:modified>
</cp:coreProperties>
</file>